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15" w:type="dxa"/>
          <w:left w:w="15" w:type="dxa"/>
          <w:bottom w:w="15" w:type="dxa"/>
          <w:right w:w="15" w:type="dxa"/>
        </w:tblCellMar>
        <w:tblLook w:val="04A0" w:firstRow="1" w:lastRow="0" w:firstColumn="1" w:lastColumn="0" w:noHBand="0" w:noVBand="1"/>
      </w:tblPr>
      <w:tblGrid>
        <w:gridCol w:w="1184"/>
        <w:gridCol w:w="2178"/>
        <w:gridCol w:w="5082"/>
        <w:gridCol w:w="1307"/>
        <w:gridCol w:w="2942"/>
        <w:gridCol w:w="1537"/>
      </w:tblGrid>
      <w:tr w:rsidR="00E43D77" w:rsidRPr="00E43D77" w:rsidTr="00E43D77">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bookmarkStart w:id="0" w:name="_GoBack" w:colFirst="6" w:colLast="6"/>
            <w:r>
              <w:rPr>
                <w:rFonts w:cs="Arial"/>
                <w:sz w:val="18"/>
                <w:szCs w:val="18"/>
              </w:rPr>
              <w:t> </w:t>
            </w:r>
            <w:r>
              <w:rPr>
                <w:rStyle w:val="Strong"/>
                <w:rFonts w:cs="Arial"/>
                <w:sz w:val="18"/>
                <w:szCs w:val="18"/>
              </w:rPr>
              <w:t>Decision Reference</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Default="00E43D77">
            <w:pPr>
              <w:rPr>
                <w:rFonts w:cs="Arial"/>
                <w:sz w:val="18"/>
                <w:szCs w:val="18"/>
              </w:rPr>
            </w:pPr>
            <w:r>
              <w:rPr>
                <w:rStyle w:val="Strong"/>
                <w:rFonts w:cs="Arial"/>
                <w:sz w:val="18"/>
                <w:szCs w:val="18"/>
              </w:rPr>
              <w:t>Issue</w:t>
            </w:r>
            <w:r>
              <w:rPr>
                <w:rFonts w:cs="Arial"/>
                <w:sz w:val="18"/>
                <w:szCs w:val="18"/>
              </w:rPr>
              <w:t xml:space="preserve">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Default="00E43D77">
            <w:pPr>
              <w:rPr>
                <w:rFonts w:cs="Arial"/>
                <w:sz w:val="18"/>
                <w:szCs w:val="18"/>
              </w:rPr>
            </w:pPr>
            <w:r>
              <w:rPr>
                <w:rFonts w:cs="Arial"/>
                <w:sz w:val="18"/>
                <w:szCs w:val="18"/>
              </w:rPr>
              <w:t> </w:t>
            </w:r>
            <w:r>
              <w:rPr>
                <w:rStyle w:val="Strong"/>
                <w:rFonts w:cs="Arial"/>
                <w:sz w:val="18"/>
                <w:szCs w:val="18"/>
              </w:rPr>
              <w:t>Decision</w:t>
            </w:r>
            <w:r>
              <w:rPr>
                <w:rFonts w:cs="Arial"/>
                <w:sz w:val="18"/>
                <w:szCs w:val="18"/>
              </w:rPr>
              <w:t xml:space="preserve">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Default="00E43D77">
            <w:pPr>
              <w:rPr>
                <w:rFonts w:cs="Arial"/>
                <w:sz w:val="18"/>
                <w:szCs w:val="18"/>
              </w:rPr>
            </w:pPr>
            <w:r>
              <w:rPr>
                <w:rStyle w:val="Strong"/>
                <w:rFonts w:cs="Arial"/>
                <w:sz w:val="18"/>
                <w:szCs w:val="18"/>
              </w:rPr>
              <w:t>Date of decision /noted</w:t>
            </w:r>
            <w:r>
              <w:rPr>
                <w:rFonts w:cs="Arial"/>
                <w:sz w:val="18"/>
                <w:szCs w:val="18"/>
              </w:rPr>
              <w:t xml:space="preserve"> </w:t>
            </w:r>
            <w:r>
              <w:rPr>
                <w:rStyle w:val="Strong"/>
                <w:rFonts w:cs="Arial"/>
                <w:sz w:val="18"/>
                <w:szCs w:val="18"/>
              </w:rPr>
              <w:t>by</w:t>
            </w:r>
            <w:r>
              <w:rPr>
                <w:rFonts w:cs="Arial"/>
                <w:sz w:val="18"/>
                <w:szCs w:val="18"/>
              </w:rPr>
              <w:t xml:space="preserve"> </w:t>
            </w:r>
            <w:r>
              <w:rPr>
                <w:rStyle w:val="Strong"/>
                <w:rFonts w:cs="Arial"/>
                <w:sz w:val="18"/>
                <w:szCs w:val="18"/>
              </w:rPr>
              <w:t>PCC</w:t>
            </w:r>
            <w:r>
              <w:rPr>
                <w:rFonts w:cs="Arial"/>
                <w:sz w:val="18"/>
                <w:szCs w:val="18"/>
              </w:rPr>
              <w:t xml:space="preserve">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Default="004B4061">
            <w:pPr>
              <w:rPr>
                <w:rFonts w:cs="Arial"/>
                <w:sz w:val="18"/>
                <w:szCs w:val="18"/>
              </w:rPr>
            </w:pPr>
            <w:r>
              <w:rPr>
                <w:rFonts w:cs="Arial"/>
                <w:noProof/>
                <w:sz w:val="18"/>
                <w:szCs w:val="18"/>
                <w:lang w:eastAsia="en-GB"/>
              </w:rPr>
              <w:pict>
                <v:shapetype id="_x0000_t202" coordsize="21600,21600" o:spt="202" path="m,l,21600r21600,l21600,xe">
                  <v:stroke joinstyle="miter"/>
                  <v:path gradientshapeok="t" o:connecttype="rect"/>
                </v:shapetype>
                <v:shape id="_x0000_s1026" type="#_x0000_t202" style="position:absolute;margin-left:129.25pt;margin-top:-57.95pt;width:105pt;height:23.4pt;z-index:251658240;mso-position-horizontal-relative:text;mso-position-vertical-relative:text">
                  <v:textbox>
                    <w:txbxContent>
                      <w:p w:rsidR="004B4061" w:rsidRDefault="004B4061">
                        <w:r>
                          <w:t>APPENDIX A</w:t>
                        </w:r>
                      </w:p>
                    </w:txbxContent>
                  </v:textbox>
                </v:shape>
              </w:pict>
            </w:r>
            <w:r w:rsidR="00E43D77">
              <w:rPr>
                <w:rFonts w:cs="Arial"/>
                <w:sz w:val="18"/>
                <w:szCs w:val="18"/>
              </w:rPr>
              <w:t> </w:t>
            </w:r>
            <w:r w:rsidR="00E43D77">
              <w:rPr>
                <w:rStyle w:val="Strong"/>
                <w:rFonts w:cs="Arial"/>
                <w:sz w:val="18"/>
                <w:szCs w:val="18"/>
              </w:rPr>
              <w:t>Decision Papers/ Reason for Restricted</w:t>
            </w:r>
            <w:r w:rsidR="00E43D77">
              <w:rPr>
                <w:rFonts w:cs="Arial"/>
                <w:sz w:val="18"/>
                <w:szCs w:val="18"/>
              </w:rPr>
              <w:t xml:space="preserve">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Default="00E43D77">
            <w:pPr>
              <w:rPr>
                <w:rFonts w:cs="Arial"/>
                <w:sz w:val="18"/>
                <w:szCs w:val="18"/>
              </w:rPr>
            </w:pPr>
            <w:r>
              <w:rPr>
                <w:rStyle w:val="Strong"/>
                <w:rFonts w:cs="Arial"/>
                <w:sz w:val="18"/>
                <w:szCs w:val="18"/>
              </w:rPr>
              <w:t>Decision Maker </w:t>
            </w:r>
            <w:r>
              <w:rPr>
                <w:rFonts w:cs="Arial"/>
                <w:sz w:val="18"/>
                <w:szCs w:val="18"/>
              </w:rPr>
              <w:t xml:space="preserve">   </w:t>
            </w:r>
          </w:p>
        </w:tc>
      </w:tr>
      <w:tr w:rsidR="00E43D77" w:rsidRPr="00E43D77" w:rsidTr="00E43D77">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2012/11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2012/13 Capital Monitoring Position as at 31 December 2012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The Police and Crime Commissioner has considered the Capital Monitoring Position as at December 2012 and: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1.   Noted the forecast underspend of £5.147m on the 2012/13 capital programme of which;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•£1.323m related to slippage on schemes that needed to be carried out in 2013/14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•£3.354m related to schemes that were planned for 2012/13 but had been deferred to future years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•£0.470m related to underspends on current capital projects and schemes that were no longer required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2.   Noted the requirement for the funding for schemes that had slipped or been deferred to be carried forward to 2013/14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3.   Noted that £470k of the capital programme was available for re-investment in other capital schemes due to underspends on schemes that had completed or for schemes that were no longer required.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4.   Noted that almost £11m of capital investment would have been carried out by 31st March 2013 ensuring that the organisation’s infrastructure assets remained robust and fit for purpose.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 15.02.2013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163" w:line="240" w:lineRule="auto"/>
              <w:rPr>
                <w:rFonts w:eastAsia="Times New Roman" w:cs="Arial"/>
                <w:sz w:val="18"/>
                <w:szCs w:val="18"/>
                <w:lang w:eastAsia="en-GB"/>
              </w:rPr>
            </w:pPr>
            <w:r>
              <w:rPr>
                <w:rFonts w:eastAsia="Times New Roman" w:cs="Arial"/>
                <w:sz w:val="18"/>
                <w:szCs w:val="18"/>
                <w:lang w:eastAsia="en-GB"/>
              </w:rPr>
              <w:t>Papers available for further scrutiny on PCC website</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Police and Crime Commissioner </w:t>
            </w:r>
          </w:p>
        </w:tc>
      </w:tr>
      <w:tr w:rsidR="00E43D77" w:rsidRPr="00E43D77" w:rsidTr="00E43D77">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2012/12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2012/13 Revenue Monitoring as at 31 December 2012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The Police and Crime Commissioner considered the 2012/13 Revenue Position as at 31 December 2012 and;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1.   noted the forecast underspend of £4.065m on the 2012/13 budget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2.   noted the receipt of additional income of £1.2m from </w:t>
            </w:r>
            <w:r w:rsidRPr="00E43D77">
              <w:rPr>
                <w:rFonts w:eastAsia="Times New Roman" w:cs="Arial"/>
                <w:sz w:val="18"/>
                <w:szCs w:val="18"/>
                <w:lang w:eastAsia="en-GB"/>
              </w:rPr>
              <w:lastRenderedPageBreak/>
              <w:t xml:space="preserve">policing the Open Golf and the one-off grant as a contribution to the costs for providing support to the London Olympics and agreed that this be added to the Operational Policing Reserve in order to manage the additional costs of any planned or un-planned events that may arise in the future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3.   agreed that DFM carry forward balances be reduced to 1% for 2012/13 and that as a consequence of this £2.296m be transferred into the transitional change reserve in order to assist with the delivery of the financial strategy in future years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4.   has requested further information be provided on the use of the proposed innovation fund including: </w:t>
            </w:r>
          </w:p>
          <w:p w:rsidR="00E43D77" w:rsidRPr="00E43D77" w:rsidRDefault="00E43D77" w:rsidP="00E43D77">
            <w:pPr>
              <w:numPr>
                <w:ilvl w:val="0"/>
                <w:numId w:val="1"/>
              </w:numPr>
              <w:spacing w:before="100" w:beforeAutospacing="1" w:after="109" w:line="240" w:lineRule="auto"/>
              <w:rPr>
                <w:rFonts w:eastAsia="Times New Roman" w:cs="Arial"/>
                <w:sz w:val="18"/>
                <w:szCs w:val="18"/>
                <w:lang w:eastAsia="en-GB"/>
              </w:rPr>
            </w:pPr>
            <w:r w:rsidRPr="00E43D77">
              <w:rPr>
                <w:rFonts w:eastAsia="Times New Roman" w:cs="Arial"/>
                <w:sz w:val="18"/>
                <w:szCs w:val="18"/>
                <w:lang w:eastAsia="en-GB"/>
              </w:rPr>
              <w:t xml:space="preserve">Details of proposed partnering </w:t>
            </w:r>
          </w:p>
          <w:p w:rsidR="00E43D77" w:rsidRPr="00E43D77" w:rsidRDefault="00E43D77" w:rsidP="00E43D77">
            <w:pPr>
              <w:numPr>
                <w:ilvl w:val="0"/>
                <w:numId w:val="1"/>
              </w:numPr>
              <w:spacing w:before="100" w:beforeAutospacing="1" w:after="109" w:line="240" w:lineRule="auto"/>
              <w:rPr>
                <w:rFonts w:eastAsia="Times New Roman" w:cs="Arial"/>
                <w:sz w:val="18"/>
                <w:szCs w:val="18"/>
                <w:lang w:eastAsia="en-GB"/>
              </w:rPr>
            </w:pPr>
            <w:r w:rsidRPr="00E43D77">
              <w:rPr>
                <w:rFonts w:eastAsia="Times New Roman" w:cs="Arial"/>
                <w:sz w:val="18"/>
                <w:szCs w:val="18"/>
                <w:lang w:eastAsia="en-GB"/>
              </w:rPr>
              <w:t xml:space="preserve">Business case particularly in relation  to C3PO upgrades </w:t>
            </w:r>
          </w:p>
          <w:p w:rsidR="00E43D77" w:rsidRPr="00E43D77" w:rsidRDefault="00E43D77" w:rsidP="00E43D77">
            <w:pPr>
              <w:numPr>
                <w:ilvl w:val="0"/>
                <w:numId w:val="1"/>
              </w:numPr>
              <w:spacing w:before="100" w:beforeAutospacing="1" w:after="109" w:line="240" w:lineRule="auto"/>
              <w:rPr>
                <w:rFonts w:eastAsia="Times New Roman" w:cs="Arial"/>
                <w:sz w:val="18"/>
                <w:szCs w:val="18"/>
                <w:lang w:eastAsia="en-GB"/>
              </w:rPr>
            </w:pPr>
            <w:r w:rsidRPr="00E43D77">
              <w:rPr>
                <w:rFonts w:eastAsia="Times New Roman" w:cs="Arial"/>
                <w:sz w:val="18"/>
                <w:szCs w:val="18"/>
                <w:lang w:eastAsia="en-GB"/>
              </w:rPr>
              <w:t xml:space="preserve">Review of existing licence provision and confirmation of licensing efficiency work.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5.   noted the potential for additional ill health retirements and that a further report setting out the details and the financial implications would be presented in the near future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lastRenderedPageBreak/>
              <w:t xml:space="preserve">15.02.2013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D6D53">
            <w:pPr>
              <w:spacing w:after="163" w:line="240" w:lineRule="auto"/>
              <w:rPr>
                <w:rFonts w:eastAsia="Times New Roman" w:cs="Arial"/>
                <w:sz w:val="18"/>
                <w:szCs w:val="18"/>
                <w:lang w:eastAsia="en-GB"/>
              </w:rPr>
            </w:pPr>
            <w:r>
              <w:rPr>
                <w:rFonts w:eastAsia="Times New Roman" w:cs="Arial"/>
                <w:sz w:val="18"/>
                <w:szCs w:val="18"/>
                <w:lang w:eastAsia="en-GB"/>
              </w:rPr>
              <w:t>Papers available for further scrutiny on PCC website</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Police and Crime Commissioner </w:t>
            </w:r>
          </w:p>
        </w:tc>
      </w:tr>
      <w:tr w:rsidR="00E43D77" w:rsidRPr="00E43D77" w:rsidTr="00E43D77">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lastRenderedPageBreak/>
              <w:t xml:space="preserve">2012/13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Capital programme 2013/14-2017/18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The Police and Crime Commissioner has considered a report on the 2013/14 to 2017/18 Capital Programme and;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1.   Noted the proposed capital programme for 2013/14 – 2017/18 and the method of financing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2.   Agreed the capital programme for 2013/14 and the method of financing </w:t>
            </w:r>
          </w:p>
          <w:p w:rsid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3.   Agreed the prudential indicators as set out at Appendix D to the report now presented. </w:t>
            </w:r>
          </w:p>
          <w:p w:rsidR="00E43D77" w:rsidRPr="00E43D77" w:rsidRDefault="00E43D77" w:rsidP="00E43D77">
            <w:pPr>
              <w:spacing w:after="163" w:line="240" w:lineRule="auto"/>
              <w:rPr>
                <w:rFonts w:eastAsia="Times New Roman" w:cs="Arial"/>
                <w:sz w:val="18"/>
                <w:szCs w:val="18"/>
                <w:lang w:eastAsia="en-GB"/>
              </w:rPr>
            </w:pP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15.02.2013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D6D53">
            <w:pPr>
              <w:spacing w:after="163" w:line="240" w:lineRule="auto"/>
              <w:rPr>
                <w:rFonts w:eastAsia="Times New Roman" w:cs="Arial"/>
                <w:sz w:val="18"/>
                <w:szCs w:val="18"/>
                <w:lang w:eastAsia="en-GB"/>
              </w:rPr>
            </w:pPr>
            <w:r>
              <w:rPr>
                <w:rFonts w:eastAsia="Times New Roman" w:cs="Arial"/>
                <w:sz w:val="18"/>
                <w:szCs w:val="18"/>
                <w:lang w:eastAsia="en-GB"/>
              </w:rPr>
              <w:t>Papers available for further scrutiny on PCC website</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Police and Crime Commissioner </w:t>
            </w:r>
          </w:p>
        </w:tc>
      </w:tr>
      <w:tr w:rsidR="00E43D77" w:rsidRPr="00E43D77" w:rsidTr="00E43D77">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lastRenderedPageBreak/>
              <w:t xml:space="preserve">2012/14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2013/14 Revenue Budget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The Police and Crime Commissioner has approved the following in respect of the 2013/14 Budget requirement and precept: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1.  That the resultant net budget requirement for 2013 / 14 of £258.733 million and consequent Band D Council Tax of £152.92 (a 2% increase on 2012/13 levels) be approved as follows:-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                                                  £m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 Net Budget                          258.733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 Less: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External resources             </w:t>
            </w:r>
            <w:r w:rsidRPr="00E43D77">
              <w:rPr>
                <w:rFonts w:eastAsia="Times New Roman" w:cs="Arial"/>
                <w:sz w:val="18"/>
                <w:szCs w:val="18"/>
                <w:u w:val="single"/>
                <w:lang w:eastAsia="en-GB"/>
              </w:rPr>
              <w:t>198.209</w:t>
            </w:r>
            <w:r w:rsidRPr="00E43D77">
              <w:rPr>
                <w:rFonts w:eastAsia="Times New Roman" w:cs="Arial"/>
                <w:sz w:val="18"/>
                <w:szCs w:val="18"/>
                <w:lang w:eastAsia="en-GB"/>
              </w:rPr>
              <w:t xml:space="preserve">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                                                  60.524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 Plus:  Share of net deficits on District Councils' Collection Funds in 2012/13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                                                     </w:t>
            </w:r>
            <w:r w:rsidRPr="00E43D77">
              <w:rPr>
                <w:rFonts w:eastAsia="Times New Roman" w:cs="Arial"/>
                <w:sz w:val="18"/>
                <w:szCs w:val="18"/>
                <w:u w:val="single"/>
                <w:lang w:eastAsia="en-GB"/>
              </w:rPr>
              <w:t>0.132</w:t>
            </w:r>
            <w:r w:rsidRPr="00E43D77">
              <w:rPr>
                <w:rFonts w:eastAsia="Times New Roman" w:cs="Arial"/>
                <w:sz w:val="18"/>
                <w:szCs w:val="18"/>
                <w:lang w:eastAsia="en-GB"/>
              </w:rPr>
              <w:t xml:space="preserve">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Police Authority Council Tax Requirement 2012 / 13          60.656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Council Tax Base Band D equivalents                            396,652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b/>
                <w:bCs/>
                <w:sz w:val="18"/>
                <w:lang w:eastAsia="en-GB"/>
              </w:rPr>
              <w:t>Band D Council Tax</w:t>
            </w:r>
            <w:r w:rsidRPr="00E43D77">
              <w:rPr>
                <w:rFonts w:eastAsia="Times New Roman" w:cs="Arial"/>
                <w:sz w:val="18"/>
                <w:szCs w:val="18"/>
                <w:lang w:eastAsia="en-GB"/>
              </w:rPr>
              <w:t xml:space="preserve">            </w:t>
            </w:r>
            <w:r w:rsidRPr="00E43D77">
              <w:rPr>
                <w:rFonts w:eastAsia="Times New Roman" w:cs="Arial"/>
                <w:b/>
                <w:bCs/>
                <w:sz w:val="18"/>
                <w:lang w:eastAsia="en-GB"/>
              </w:rPr>
              <w:t>£152.92</w:t>
            </w:r>
            <w:r w:rsidRPr="00E43D77">
              <w:rPr>
                <w:rFonts w:eastAsia="Times New Roman" w:cs="Arial"/>
                <w:sz w:val="18"/>
                <w:szCs w:val="18"/>
                <w:lang w:eastAsia="en-GB"/>
              </w:rPr>
              <w:t xml:space="preserve">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2.  On the basis of the above and the fixed ratios between valuation bands set by the Government, the Police and Crime Commissioner's council tax for each valuation would be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 BAND                                         £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 Band A                                 101.95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lastRenderedPageBreak/>
              <w:t xml:space="preserve"> Band B                                 118.94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 Band C                                 135.93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 Band D                                 152.92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 Band E                                 186.90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 Band F                                 220.88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 Band G                                254.87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 Band H                                305.84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 3.  Based on each district and unitary council's proportion of the total Band D equivalent tax base of 396,652, the share of the total Police and Crime Commissioner for Lancashire's  precept of £60,656,201 to be levied on each council would be: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                                                              £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 Blackburn with </w:t>
            </w:r>
            <w:proofErr w:type="spellStart"/>
            <w:r w:rsidRPr="00E43D77">
              <w:rPr>
                <w:rFonts w:eastAsia="Times New Roman" w:cs="Arial"/>
                <w:sz w:val="18"/>
                <w:szCs w:val="18"/>
                <w:lang w:eastAsia="en-GB"/>
              </w:rPr>
              <w:t>Darwen</w:t>
            </w:r>
            <w:proofErr w:type="spellEnd"/>
            <w:r w:rsidRPr="00E43D77">
              <w:rPr>
                <w:rFonts w:eastAsia="Times New Roman" w:cs="Arial"/>
                <w:sz w:val="18"/>
                <w:szCs w:val="18"/>
                <w:lang w:eastAsia="en-GB"/>
              </w:rPr>
              <w:t xml:space="preserve">           4,673,258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 Blackpool                                   5,267,195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 Burnley                                       3,196,957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 Chorley                                       5,008,148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 Fylde                                           4,192,776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 Hyndburn                                   2,801,352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 Lancaster                                  5,673,352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 Pendle                                       3,329,050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 Preston                                      5,232,635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w:t>
            </w:r>
            <w:proofErr w:type="spellStart"/>
            <w:r w:rsidRPr="00E43D77">
              <w:rPr>
                <w:rFonts w:eastAsia="Times New Roman" w:cs="Arial"/>
                <w:sz w:val="18"/>
                <w:szCs w:val="18"/>
                <w:lang w:eastAsia="en-GB"/>
              </w:rPr>
              <w:t>Ribble</w:t>
            </w:r>
            <w:proofErr w:type="spellEnd"/>
            <w:r w:rsidRPr="00E43D77">
              <w:rPr>
                <w:rFonts w:eastAsia="Times New Roman" w:cs="Arial"/>
                <w:sz w:val="18"/>
                <w:szCs w:val="18"/>
                <w:lang w:eastAsia="en-GB"/>
              </w:rPr>
              <w:t xml:space="preserve"> Valley                             3,219,436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 Rossendale                              2,763,733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 South </w:t>
            </w:r>
            <w:proofErr w:type="spellStart"/>
            <w:r w:rsidRPr="00E43D77">
              <w:rPr>
                <w:rFonts w:eastAsia="Times New Roman" w:cs="Arial"/>
                <w:sz w:val="18"/>
                <w:szCs w:val="18"/>
                <w:lang w:eastAsia="en-GB"/>
              </w:rPr>
              <w:t>Ribble</w:t>
            </w:r>
            <w:proofErr w:type="spellEnd"/>
            <w:r w:rsidRPr="00E43D77">
              <w:rPr>
                <w:rFonts w:eastAsia="Times New Roman" w:cs="Arial"/>
                <w:sz w:val="18"/>
                <w:szCs w:val="18"/>
                <w:lang w:eastAsia="en-GB"/>
              </w:rPr>
              <w:t xml:space="preserve">                             5,104,133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lastRenderedPageBreak/>
              <w:t xml:space="preserve"> West Lancashire                      5,033,941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 Wyre                                            5,160,235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w:t>
            </w:r>
            <w:r w:rsidRPr="00E43D77">
              <w:rPr>
                <w:rFonts w:eastAsia="Times New Roman" w:cs="Arial"/>
                <w:b/>
                <w:bCs/>
                <w:sz w:val="18"/>
                <w:lang w:eastAsia="en-GB"/>
              </w:rPr>
              <w:t>£60,656,201</w:t>
            </w:r>
            <w:r w:rsidRPr="00E43D77">
              <w:rPr>
                <w:rFonts w:eastAsia="Times New Roman" w:cs="Arial"/>
                <w:sz w:val="18"/>
                <w:szCs w:val="18"/>
                <w:lang w:eastAsia="en-GB"/>
              </w:rPr>
              <w:t xml:space="preserve">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 4.  The Police and Crime Commissioner noted the one-off transition grant for the localisation of council tax schemes and that this would be held in general reserves to assist with meeting the financial challenges in future years.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5.  The Police and Crime Commissioner agreed the 2013/14 delegated budget for the Constabulary and the Office of the Police and Crime Commissioner.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lastRenderedPageBreak/>
              <w:t xml:space="preserve">15.02.2013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D6D53">
            <w:pPr>
              <w:spacing w:after="163" w:line="240" w:lineRule="auto"/>
              <w:rPr>
                <w:rFonts w:eastAsia="Times New Roman" w:cs="Arial"/>
                <w:sz w:val="18"/>
                <w:szCs w:val="18"/>
                <w:lang w:eastAsia="en-GB"/>
              </w:rPr>
            </w:pPr>
            <w:r>
              <w:rPr>
                <w:rFonts w:eastAsia="Times New Roman" w:cs="Arial"/>
                <w:sz w:val="18"/>
                <w:szCs w:val="18"/>
                <w:lang w:eastAsia="en-GB"/>
              </w:rPr>
              <w:t>Papers available for further scrutiny on PCC website</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Police and Crime Commissioner </w:t>
            </w:r>
          </w:p>
        </w:tc>
      </w:tr>
      <w:tr w:rsidR="00E43D77" w:rsidRPr="00E43D77" w:rsidTr="00E43D77">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lastRenderedPageBreak/>
              <w:t xml:space="preserve">DEL 2012/05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Deployment of a police officer to the UK Football Policing Unit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The Chief Executive, under delegated authority, has approved the deployment of a police officer to the UK Football Policing Unit on the 26 March 2013 in support of national and international policing commitments.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11.03.2013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Chief Executive </w:t>
            </w:r>
          </w:p>
        </w:tc>
      </w:tr>
      <w:tr w:rsidR="00E43D77" w:rsidRPr="00E43D77" w:rsidTr="00E43D77">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2012/15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Treasury Management Policy and Strategy 2013/14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The Police and Crime Commissioner has approved the Treasury Management Policy Framework for 2013/1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13.03.2013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D6D53">
            <w:pPr>
              <w:spacing w:after="163" w:line="240" w:lineRule="auto"/>
              <w:rPr>
                <w:rFonts w:eastAsia="Times New Roman" w:cs="Arial"/>
                <w:sz w:val="18"/>
                <w:szCs w:val="18"/>
                <w:lang w:eastAsia="en-GB"/>
              </w:rPr>
            </w:pPr>
            <w:r>
              <w:rPr>
                <w:rFonts w:eastAsia="Times New Roman" w:cs="Arial"/>
                <w:sz w:val="18"/>
                <w:szCs w:val="18"/>
                <w:lang w:eastAsia="en-GB"/>
              </w:rPr>
              <w:t>Papers available for further scrutiny on PCC website</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Police and Crime Commissioner </w:t>
            </w:r>
          </w:p>
        </w:tc>
      </w:tr>
      <w:tr w:rsidR="00E43D77" w:rsidRPr="00E43D77" w:rsidTr="00E43D77">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2012/16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Police and Crime Plan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The Police and Crime Commissioner </w:t>
            </w:r>
            <w:proofErr w:type="gramStart"/>
            <w:r w:rsidRPr="00E43D77">
              <w:rPr>
                <w:rFonts w:eastAsia="Times New Roman" w:cs="Arial"/>
                <w:sz w:val="18"/>
                <w:szCs w:val="18"/>
                <w:lang w:eastAsia="en-GB"/>
              </w:rPr>
              <w:t>has</w:t>
            </w:r>
            <w:proofErr w:type="gramEnd"/>
            <w:r w:rsidRPr="00E43D77">
              <w:rPr>
                <w:rFonts w:eastAsia="Times New Roman" w:cs="Arial"/>
                <w:sz w:val="18"/>
                <w:szCs w:val="18"/>
                <w:lang w:eastAsia="en-GB"/>
              </w:rPr>
              <w:t xml:space="preserve"> approved the content of the Police and Crime Plan 2013-18.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15.03.2013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D6D53">
            <w:pPr>
              <w:spacing w:after="163" w:line="240" w:lineRule="auto"/>
              <w:rPr>
                <w:rFonts w:eastAsia="Times New Roman" w:cs="Arial"/>
                <w:sz w:val="18"/>
                <w:szCs w:val="18"/>
                <w:lang w:eastAsia="en-GB"/>
              </w:rPr>
            </w:pPr>
            <w:r>
              <w:rPr>
                <w:rFonts w:eastAsia="Times New Roman" w:cs="Arial"/>
                <w:sz w:val="18"/>
                <w:szCs w:val="18"/>
                <w:lang w:eastAsia="en-GB"/>
              </w:rPr>
              <w:t>Papers available for further scrutiny on PCC website</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Police and Crime Plan </w:t>
            </w:r>
          </w:p>
        </w:tc>
      </w:tr>
      <w:tr w:rsidR="00E43D77" w:rsidRPr="00E43D77" w:rsidTr="00E43D77">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2012/17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Approval of further allocation from the Community Safety Fund for 2013-201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The Police and Crime Commissioner has considered and approved the allocation of funding from the Community Safety Fund 2013-2014 to the two unitary authority Community Safety Partnerships to further support Domestic Abuse services in their areas, to the Lancashire Sport Partnership and Groundwork for the Positive Futures programme and to support the work of the Inside Out programme in Preston Prison. </w:t>
            </w:r>
          </w:p>
          <w:p w:rsidR="00E43D77" w:rsidRDefault="00E43D77" w:rsidP="00E43D77">
            <w:pPr>
              <w:spacing w:after="163" w:line="240" w:lineRule="auto"/>
              <w:rPr>
                <w:rFonts w:eastAsia="Times New Roman" w:cs="Arial"/>
                <w:sz w:val="18"/>
                <w:szCs w:val="18"/>
                <w:lang w:eastAsia="en-GB"/>
              </w:rPr>
            </w:pPr>
          </w:p>
          <w:p w:rsidR="00E43D77" w:rsidRPr="00E43D77" w:rsidRDefault="00E43D77" w:rsidP="00E43D77">
            <w:pPr>
              <w:spacing w:after="163" w:line="240" w:lineRule="auto"/>
              <w:rPr>
                <w:rFonts w:eastAsia="Times New Roman" w:cs="Arial"/>
                <w:sz w:val="18"/>
                <w:szCs w:val="18"/>
                <w:lang w:eastAsia="en-GB"/>
              </w:rPr>
            </w:pP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15.03.2013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D6D53">
            <w:pPr>
              <w:spacing w:after="163" w:line="240" w:lineRule="auto"/>
              <w:rPr>
                <w:rFonts w:eastAsia="Times New Roman" w:cs="Arial"/>
                <w:sz w:val="18"/>
                <w:szCs w:val="18"/>
                <w:lang w:eastAsia="en-GB"/>
              </w:rPr>
            </w:pPr>
            <w:r>
              <w:rPr>
                <w:rFonts w:eastAsia="Times New Roman" w:cs="Arial"/>
                <w:sz w:val="18"/>
                <w:szCs w:val="18"/>
                <w:lang w:eastAsia="en-GB"/>
              </w:rPr>
              <w:t>Papers available for further scrutiny on PCC website</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Police and Crime Commissioner </w:t>
            </w:r>
          </w:p>
        </w:tc>
      </w:tr>
      <w:tr w:rsidR="00E43D77" w:rsidRPr="00E43D77" w:rsidTr="00E43D77">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lastRenderedPageBreak/>
              <w:t xml:space="preserve">2012/18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Extension of the Interim Combined Audit Committee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The Police and Crime Commissioner has approved:-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1.   an extension of the existing arrangements for the Interim Combined Audit Committee until March 2014 </w:t>
            </w:r>
          </w:p>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 2.   the revised terms of reference, as recommended by the Committee at its first meeting on 25 February 2013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20.03.2013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D6D53">
            <w:pPr>
              <w:spacing w:after="163" w:line="240" w:lineRule="auto"/>
              <w:rPr>
                <w:rFonts w:eastAsia="Times New Roman" w:cs="Arial"/>
                <w:sz w:val="18"/>
                <w:szCs w:val="18"/>
                <w:lang w:eastAsia="en-GB"/>
              </w:rPr>
            </w:pPr>
            <w:r>
              <w:rPr>
                <w:rFonts w:eastAsia="Times New Roman" w:cs="Arial"/>
                <w:sz w:val="18"/>
                <w:szCs w:val="18"/>
                <w:lang w:eastAsia="en-GB"/>
              </w:rPr>
              <w:t>Papers available for further scrutiny on PCC website</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Police and Crime Commissioner </w:t>
            </w:r>
          </w:p>
        </w:tc>
      </w:tr>
      <w:tr w:rsidR="00E43D77" w:rsidRPr="00E43D77" w:rsidTr="00E43D77">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2012/19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The Acceptance of tenders to provide forensic analytical services to Lancashire Constabulary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sz w:val="18"/>
                <w:szCs w:val="18"/>
                <w:lang w:eastAsia="en-GB"/>
              </w:rPr>
              <w:t xml:space="preserve">The Police and Crime Commissioner has given approval for Lancashire Constabulary to use the Contracts arranged by the West Coast Forensic Procurement Consortium for the period 1 April 2013 to 31 March 2016 with the option to extend to 31 March 2017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20.03.2013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b/>
                <w:bCs/>
                <w:sz w:val="18"/>
                <w:lang w:eastAsia="en-GB"/>
              </w:rPr>
              <w:t>RESTRICTED</w:t>
            </w:r>
            <w:r w:rsidRPr="00E43D77">
              <w:rPr>
                <w:rFonts w:eastAsia="Times New Roman" w:cs="Arial"/>
                <w:sz w:val="18"/>
                <w:szCs w:val="18"/>
                <w:lang w:eastAsia="en-GB"/>
              </w:rPr>
              <w:t xml:space="preserve"> – Information relating to this decision is restricted as it contains information which relates to or includes commercial, financial or business interests of the Police and Crime Commissioner or any other person or company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Police and Crime Commissioner </w:t>
            </w:r>
          </w:p>
        </w:tc>
      </w:tr>
      <w:tr w:rsidR="00E43D77" w:rsidRPr="00E43D77" w:rsidTr="00E43D77">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DEL 2012/06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Settlement of Claim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The Chief Executive, under delegated authority, has approved the settlement of solicitor costs in respect of a civil claim.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28.03.2013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b/>
                <w:bCs/>
                <w:sz w:val="18"/>
                <w:lang w:eastAsia="en-GB"/>
              </w:rPr>
              <w:t>RESTRICTED</w:t>
            </w:r>
            <w:r w:rsidRPr="00E43D77">
              <w:rPr>
                <w:rFonts w:eastAsia="Times New Roman" w:cs="Arial"/>
                <w:sz w:val="18"/>
                <w:szCs w:val="18"/>
                <w:lang w:eastAsia="en-GB"/>
              </w:rPr>
              <w:t xml:space="preserve"> – Information relating to this decision is restricted as it contains information which relates to or includes personal information; financial interests of the Police and Crime Commissioner or any other person or company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Chief Executive </w:t>
            </w:r>
          </w:p>
        </w:tc>
      </w:tr>
      <w:tr w:rsidR="00E43D77" w:rsidRPr="00E43D77" w:rsidTr="00E43D77">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DEL 2012/07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Settlement of Claim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The Chief Executive, under delegated authority, has approved the settlement of solicitor costs in respect of a civil claim.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28.03.2013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163" w:line="240" w:lineRule="auto"/>
              <w:rPr>
                <w:rFonts w:eastAsia="Times New Roman" w:cs="Arial"/>
                <w:sz w:val="18"/>
                <w:szCs w:val="18"/>
                <w:lang w:eastAsia="en-GB"/>
              </w:rPr>
            </w:pPr>
            <w:r w:rsidRPr="00E43D77">
              <w:rPr>
                <w:rFonts w:eastAsia="Times New Roman" w:cs="Arial"/>
                <w:b/>
                <w:bCs/>
                <w:sz w:val="18"/>
                <w:lang w:eastAsia="en-GB"/>
              </w:rPr>
              <w:t>RESTRICTED</w:t>
            </w:r>
            <w:r w:rsidRPr="00E43D77">
              <w:rPr>
                <w:rFonts w:eastAsia="Times New Roman" w:cs="Arial"/>
                <w:sz w:val="18"/>
                <w:szCs w:val="18"/>
                <w:lang w:eastAsia="en-GB"/>
              </w:rPr>
              <w:t xml:space="preserve"> – Information relating to this decision is restricted as it contains information which relates to or includes personal information; financial interests of the Police and Crime Commissioner or any other person or company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Chief Executive </w:t>
            </w:r>
          </w:p>
        </w:tc>
      </w:tr>
      <w:tr w:rsidR="00E43D77" w:rsidRPr="00E43D77" w:rsidTr="00E43D77">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CFO 2013/01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Vehicle Recovery Service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In accordance with the Interim Scheme of Governance the Chief Constable's Chief Finance Officer has agree to the acceptance of the NSG insurance initiative with effect from </w:t>
            </w:r>
            <w:r w:rsidRPr="00E43D77">
              <w:rPr>
                <w:rFonts w:eastAsia="Times New Roman" w:cs="Arial"/>
                <w:sz w:val="18"/>
                <w:szCs w:val="18"/>
                <w:lang w:eastAsia="en-GB"/>
              </w:rPr>
              <w:lastRenderedPageBreak/>
              <w:t xml:space="preserve">1.4.13 </w:t>
            </w:r>
          </w:p>
          <w:p w:rsidR="008350C8" w:rsidRPr="00E43D77" w:rsidRDefault="008350C8" w:rsidP="00E43D77">
            <w:pPr>
              <w:spacing w:after="0" w:line="240" w:lineRule="auto"/>
              <w:rPr>
                <w:rFonts w:eastAsia="Times New Roman" w:cs="Arial"/>
                <w:sz w:val="18"/>
                <w:szCs w:val="18"/>
                <w:lang w:eastAsia="en-GB"/>
              </w:rPr>
            </w:pP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lastRenderedPageBreak/>
              <w:t xml:space="preserve">31.05.2013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D6D53">
            <w:pPr>
              <w:spacing w:after="163" w:line="240" w:lineRule="auto"/>
              <w:rPr>
                <w:rFonts w:eastAsia="Times New Roman" w:cs="Arial"/>
                <w:sz w:val="18"/>
                <w:szCs w:val="18"/>
                <w:lang w:eastAsia="en-GB"/>
              </w:rPr>
            </w:pPr>
            <w:r>
              <w:rPr>
                <w:rFonts w:eastAsia="Times New Roman" w:cs="Arial"/>
                <w:sz w:val="18"/>
                <w:szCs w:val="18"/>
                <w:lang w:eastAsia="en-GB"/>
              </w:rPr>
              <w:t>Papers available for further scrutiny on PCC website</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The Chief Constable's Chief Finance </w:t>
            </w:r>
            <w:r w:rsidRPr="00E43D77">
              <w:rPr>
                <w:rFonts w:eastAsia="Times New Roman" w:cs="Arial"/>
                <w:sz w:val="18"/>
                <w:szCs w:val="18"/>
                <w:lang w:eastAsia="en-GB"/>
              </w:rPr>
              <w:lastRenderedPageBreak/>
              <w:t xml:space="preserve">Officer </w:t>
            </w:r>
          </w:p>
        </w:tc>
      </w:tr>
      <w:tr w:rsidR="00E43D77" w:rsidRPr="00E43D77" w:rsidTr="00E43D77">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lastRenderedPageBreak/>
              <w:t xml:space="preserve">2013/01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Approval to utilise a collaborative contract for the provision of a second hand (covert) vehicle hire service for Lancashire Constabulary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The Police and Crime Commissioner has given approval to the utilisation of a collaborative contract for the provision of a second hand (covert) vehicle hire service for the period 1 March 2013 to 29 February 2016 with an option to extend the contract until 28 February 2017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24.04.2013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163" w:line="240" w:lineRule="auto"/>
              <w:rPr>
                <w:rFonts w:eastAsia="Times New Roman" w:cs="Arial"/>
                <w:b/>
                <w:bCs/>
                <w:sz w:val="18"/>
                <w:lang w:eastAsia="en-GB"/>
              </w:rPr>
            </w:pPr>
            <w:r w:rsidRPr="00E43D77">
              <w:rPr>
                <w:rFonts w:eastAsia="Times New Roman" w:cs="Arial"/>
                <w:b/>
                <w:bCs/>
                <w:sz w:val="18"/>
                <w:lang w:eastAsia="en-GB"/>
              </w:rPr>
              <w:t xml:space="preserve">RESTRICTED – Information relating to this decision is restricted as it contains information which relates to or includes commercial, financial or business interests of the Police and Crime Commissioner or any other person or company.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Police and Crime Commissioner </w:t>
            </w:r>
          </w:p>
        </w:tc>
      </w:tr>
      <w:tr w:rsidR="00E43D77" w:rsidRPr="00E43D77" w:rsidTr="00E43D77">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CFO 2013/02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Settlement of a Claim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In accordance with article 8.55 of the Interim Scheme of Governance, the Chief Constable's Chief Finance Officer has approved the settlement of solicitor costs in respect of a civil claim.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31.05.2013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163" w:line="240" w:lineRule="auto"/>
              <w:rPr>
                <w:rFonts w:eastAsia="Times New Roman" w:cs="Arial"/>
                <w:b/>
                <w:bCs/>
                <w:sz w:val="18"/>
                <w:lang w:eastAsia="en-GB"/>
              </w:rPr>
            </w:pPr>
            <w:r w:rsidRPr="00E43D77">
              <w:rPr>
                <w:rFonts w:eastAsia="Times New Roman" w:cs="Arial"/>
                <w:b/>
                <w:bCs/>
                <w:sz w:val="18"/>
                <w:lang w:eastAsia="en-GB"/>
              </w:rPr>
              <w:t xml:space="preserve">RESTRICTED – Information relating to this decision is restricted as it contains information which relates to or includes personal information; financial interests of the Police and Crime Commissioner or any other person or company.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Chief Constable's Chief Finance Officer </w:t>
            </w:r>
          </w:p>
        </w:tc>
      </w:tr>
      <w:tr w:rsidR="00E43D77" w:rsidRPr="00E43D77" w:rsidTr="00E43D77">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CFO 2013/03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Settlement of a Claim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In accordance with article 8.55 of the Interim Scheme of Governance, the Chief Constable's Chief Finance Officer has approved the settlement of solicitor costs in respect of a civil claim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31.05.2013 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163" w:line="240" w:lineRule="auto"/>
              <w:rPr>
                <w:rFonts w:eastAsia="Times New Roman" w:cs="Arial"/>
                <w:b/>
                <w:bCs/>
                <w:sz w:val="18"/>
                <w:lang w:eastAsia="en-GB"/>
              </w:rPr>
            </w:pPr>
            <w:r w:rsidRPr="00E43D77">
              <w:rPr>
                <w:rFonts w:eastAsia="Times New Roman" w:cs="Arial"/>
                <w:b/>
                <w:bCs/>
                <w:sz w:val="18"/>
                <w:lang w:eastAsia="en-GB"/>
              </w:rPr>
              <w:t xml:space="preserve">RESTRICTED – Information relating to this decision is restricted as it contains information which relates to or includes personal information; financial interests of the Police and Crime Commissioner or any other person or company.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Chief Constable's Chief Finance Officer </w:t>
            </w:r>
          </w:p>
        </w:tc>
      </w:tr>
      <w:tr w:rsidR="00E43D77" w:rsidRPr="00E43D77" w:rsidTr="00E43D77">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CFO 2013/04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The renewal of licences and support against licensing for Servers/Operating systems in use throughout the Constabulary.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In accordance with article 8.58 of the Interim Scheme of Governance and article 3.4 of the financial regulations the Chief Constable's Chief Finance Officer has approved the payment of the Microsoft Enterprise Agreement.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31.05.2013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D6D53">
            <w:pPr>
              <w:spacing w:after="163" w:line="240" w:lineRule="auto"/>
              <w:rPr>
                <w:rFonts w:eastAsia="Times New Roman" w:cs="Arial"/>
                <w:sz w:val="18"/>
                <w:szCs w:val="18"/>
                <w:lang w:eastAsia="en-GB"/>
              </w:rPr>
            </w:pPr>
            <w:r>
              <w:rPr>
                <w:rFonts w:eastAsia="Times New Roman" w:cs="Arial"/>
                <w:sz w:val="18"/>
                <w:szCs w:val="18"/>
                <w:lang w:eastAsia="en-GB"/>
              </w:rPr>
              <w:t>Papers available for further scrutiny on PCC website</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Chief Constable's Chief Finance Officer </w:t>
            </w:r>
          </w:p>
        </w:tc>
      </w:tr>
      <w:tr w:rsidR="00E43D77" w:rsidRPr="00E43D77" w:rsidTr="00E43D77">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lastRenderedPageBreak/>
              <w:t xml:space="preserve">2013/02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The Commissioner's Community Action Fund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The Police and Crime Commissioner </w:t>
            </w:r>
            <w:proofErr w:type="gramStart"/>
            <w:r w:rsidRPr="00E43D77">
              <w:rPr>
                <w:rFonts w:eastAsia="Times New Roman" w:cs="Arial"/>
                <w:sz w:val="18"/>
                <w:szCs w:val="18"/>
                <w:lang w:eastAsia="en-GB"/>
              </w:rPr>
              <w:t>has</w:t>
            </w:r>
            <w:proofErr w:type="gramEnd"/>
            <w:r w:rsidRPr="00E43D77">
              <w:rPr>
                <w:rFonts w:eastAsia="Times New Roman" w:cs="Arial"/>
                <w:sz w:val="18"/>
                <w:szCs w:val="18"/>
                <w:lang w:eastAsia="en-GB"/>
              </w:rPr>
              <w:t xml:space="preserve"> agreed the arrangements for the use, application and administration of the Community Action Fund.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13.05.2013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D6D53">
            <w:pPr>
              <w:spacing w:after="163" w:line="240" w:lineRule="auto"/>
              <w:rPr>
                <w:rFonts w:eastAsia="Times New Roman" w:cs="Arial"/>
                <w:sz w:val="18"/>
                <w:szCs w:val="18"/>
                <w:lang w:eastAsia="en-GB"/>
              </w:rPr>
            </w:pPr>
            <w:r>
              <w:rPr>
                <w:rFonts w:eastAsia="Times New Roman" w:cs="Arial"/>
                <w:sz w:val="18"/>
                <w:szCs w:val="18"/>
                <w:lang w:eastAsia="en-GB"/>
              </w:rPr>
              <w:t>Papers available for further scrutiny on PCC website</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Police and Crime Commissioner </w:t>
            </w:r>
          </w:p>
        </w:tc>
      </w:tr>
      <w:tr w:rsidR="00E43D77" w:rsidRPr="00E43D77" w:rsidTr="00E43D77">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 2013/03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  </w:t>
            </w:r>
          </w:p>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Partnering arrangements for ICT Services and Associated Cost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The Police and Crime Commissioner has agreed in principle to partnering arrangements for ICT services for 2013/14, subject to satisfactory contractual arrangements, and that the cost of £126K be met from the PCC's Transitional Reserve.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31.05.2013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163" w:line="240" w:lineRule="auto"/>
              <w:rPr>
                <w:rFonts w:eastAsia="Times New Roman" w:cs="Arial"/>
                <w:b/>
                <w:bCs/>
                <w:sz w:val="18"/>
                <w:lang w:eastAsia="en-GB"/>
              </w:rPr>
            </w:pPr>
            <w:r w:rsidRPr="00E43D77">
              <w:rPr>
                <w:rFonts w:eastAsia="Times New Roman" w:cs="Arial"/>
                <w:b/>
                <w:bCs/>
                <w:sz w:val="18"/>
                <w:lang w:eastAsia="en-GB"/>
              </w:rPr>
              <w:t xml:space="preserve">RESTRICTED – Information relating to this decision is restricted as it contains information which relates to or includes commercial, financial or business interests of the Police and Crime Commissioner or any other person or company.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Police and Crime Commissioner </w:t>
            </w:r>
          </w:p>
        </w:tc>
      </w:tr>
      <w:tr w:rsidR="00E43D77" w:rsidRPr="00E43D77" w:rsidTr="00E43D77">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2013/04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A request to use Proceeds of Crime Act Funds to provide funding for the continued piloting of the use of tagging devices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The Police and Crime Commissioner has agreed to the application of £8K from Proceeds of Crime Act funds to contribute towards the costs of a 6 month extension of the GPS tagging pilot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31.05.2013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D6D53">
            <w:pPr>
              <w:spacing w:after="163" w:line="240" w:lineRule="auto"/>
              <w:rPr>
                <w:rFonts w:eastAsia="Times New Roman" w:cs="Arial"/>
                <w:sz w:val="18"/>
                <w:szCs w:val="18"/>
                <w:lang w:eastAsia="en-GB"/>
              </w:rPr>
            </w:pPr>
            <w:r>
              <w:rPr>
                <w:rFonts w:eastAsia="Times New Roman" w:cs="Arial"/>
                <w:sz w:val="18"/>
                <w:szCs w:val="18"/>
                <w:lang w:eastAsia="en-GB"/>
              </w:rPr>
              <w:t>Papers available for further scrutiny on PCC website</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Police and Crime Commissioner </w:t>
            </w:r>
          </w:p>
        </w:tc>
      </w:tr>
      <w:tr w:rsidR="00E43D77" w:rsidRPr="00E43D77" w:rsidTr="00E43D77">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CFO 2013/05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The provision of headwear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In accordance with the Interim Scheme of Governance the Chief Constable's Chief Finance Officer has agreed to participate in new contractual arrangements for the provision of headwear for the period 1st March 2013 to 28th February 2016 with the option to extend until 28th February 2018.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31.05.2013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D6D53">
            <w:pPr>
              <w:spacing w:after="163" w:line="240" w:lineRule="auto"/>
              <w:rPr>
                <w:rFonts w:eastAsia="Times New Roman" w:cs="Arial"/>
                <w:sz w:val="18"/>
                <w:szCs w:val="18"/>
                <w:lang w:eastAsia="en-GB"/>
              </w:rPr>
            </w:pPr>
            <w:r>
              <w:rPr>
                <w:rFonts w:eastAsia="Times New Roman" w:cs="Arial"/>
                <w:sz w:val="18"/>
                <w:szCs w:val="18"/>
                <w:lang w:eastAsia="en-GB"/>
              </w:rPr>
              <w:t>Papers available for further scrutiny on PCC website</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Chief Constable's Chief Finance Officer </w:t>
            </w:r>
          </w:p>
        </w:tc>
      </w:tr>
      <w:tr w:rsidR="00E43D77" w:rsidRPr="00E43D77" w:rsidTr="00E43D77">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2013/05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Community Action Fund Applications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The Police and Crime Commissioner </w:t>
            </w:r>
            <w:proofErr w:type="gramStart"/>
            <w:r w:rsidRPr="00E43D77">
              <w:rPr>
                <w:rFonts w:eastAsia="Times New Roman" w:cs="Arial"/>
                <w:sz w:val="18"/>
                <w:szCs w:val="18"/>
                <w:lang w:eastAsia="en-GB"/>
              </w:rPr>
              <w:t>has</w:t>
            </w:r>
            <w:proofErr w:type="gramEnd"/>
            <w:r w:rsidRPr="00E43D77">
              <w:rPr>
                <w:rFonts w:eastAsia="Times New Roman" w:cs="Arial"/>
                <w:sz w:val="18"/>
                <w:szCs w:val="18"/>
                <w:lang w:eastAsia="en-GB"/>
              </w:rPr>
              <w:t xml:space="preserve"> approved funding for five applications at a total cost of £7,750.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13.06.2013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D6D53">
            <w:pPr>
              <w:spacing w:after="163" w:line="240" w:lineRule="auto"/>
              <w:rPr>
                <w:rFonts w:eastAsia="Times New Roman" w:cs="Arial"/>
                <w:sz w:val="18"/>
                <w:szCs w:val="18"/>
                <w:lang w:eastAsia="en-GB"/>
              </w:rPr>
            </w:pPr>
            <w:r>
              <w:rPr>
                <w:rFonts w:eastAsia="Times New Roman" w:cs="Arial"/>
                <w:sz w:val="18"/>
                <w:szCs w:val="18"/>
                <w:lang w:eastAsia="en-GB"/>
              </w:rPr>
              <w:t>Papers available for further scrutiny on PCC website</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The Police and Crime Commissioner </w:t>
            </w:r>
          </w:p>
        </w:tc>
      </w:tr>
      <w:tr w:rsidR="00E43D77" w:rsidRPr="00E43D77" w:rsidTr="00E43D77">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2013/06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2012/13 Revenue and Capital Outturn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The Police and Crime Commissioner has; </w:t>
            </w:r>
          </w:p>
          <w:p w:rsidR="00E43D77" w:rsidRPr="00E43D77" w:rsidRDefault="00E43D77" w:rsidP="00E43D77">
            <w:pPr>
              <w:numPr>
                <w:ilvl w:val="0"/>
                <w:numId w:val="2"/>
              </w:numPr>
              <w:spacing w:before="100" w:beforeAutospacing="1" w:after="109" w:line="240" w:lineRule="auto"/>
              <w:rPr>
                <w:rFonts w:eastAsia="Times New Roman" w:cs="Arial"/>
                <w:sz w:val="18"/>
                <w:szCs w:val="18"/>
                <w:lang w:eastAsia="en-GB"/>
              </w:rPr>
            </w:pPr>
            <w:r w:rsidRPr="00E43D77">
              <w:rPr>
                <w:rFonts w:eastAsia="Times New Roman" w:cs="Arial"/>
                <w:sz w:val="18"/>
                <w:szCs w:val="18"/>
                <w:lang w:eastAsia="en-GB"/>
              </w:rPr>
              <w:t xml:space="preserve">noted the total in-year underspend of £5.608m on the Police and Crime Commissioner's Revenue budget and the year end position on reserves </w:t>
            </w:r>
          </w:p>
          <w:p w:rsidR="00E43D77" w:rsidRPr="00E43D77" w:rsidRDefault="00E43D77" w:rsidP="00E43D77">
            <w:pPr>
              <w:numPr>
                <w:ilvl w:val="0"/>
                <w:numId w:val="2"/>
              </w:numPr>
              <w:spacing w:before="100" w:beforeAutospacing="1" w:after="109" w:line="240" w:lineRule="auto"/>
              <w:rPr>
                <w:rFonts w:eastAsia="Times New Roman" w:cs="Arial"/>
                <w:sz w:val="18"/>
                <w:szCs w:val="18"/>
                <w:lang w:eastAsia="en-GB"/>
              </w:rPr>
            </w:pPr>
            <w:r w:rsidRPr="00E43D77">
              <w:rPr>
                <w:rFonts w:eastAsia="Times New Roman" w:cs="Arial"/>
                <w:sz w:val="18"/>
                <w:szCs w:val="18"/>
                <w:lang w:eastAsia="en-GB"/>
              </w:rPr>
              <w:lastRenderedPageBreak/>
              <w:t xml:space="preserve">approved the following transfers to reserves; </w:t>
            </w:r>
          </w:p>
          <w:p w:rsidR="00E43D77" w:rsidRPr="00E43D77" w:rsidRDefault="00E43D77" w:rsidP="00E43D77">
            <w:pPr>
              <w:numPr>
                <w:ilvl w:val="1"/>
                <w:numId w:val="2"/>
              </w:numPr>
              <w:spacing w:after="0" w:line="240" w:lineRule="auto"/>
              <w:rPr>
                <w:rFonts w:eastAsia="Times New Roman" w:cs="Arial"/>
                <w:sz w:val="18"/>
                <w:szCs w:val="18"/>
                <w:lang w:eastAsia="en-GB"/>
              </w:rPr>
            </w:pPr>
            <w:r w:rsidRPr="00E43D77">
              <w:rPr>
                <w:rFonts w:eastAsia="Times New Roman" w:cs="Arial"/>
                <w:sz w:val="18"/>
                <w:szCs w:val="18"/>
                <w:lang w:eastAsia="en-GB"/>
              </w:rPr>
              <w:t xml:space="preserve">£2.229m of the end of year underspend to the transition reserve to support the ongoing programme of organisational reviews that are needed to drive out savings in future years.  </w:t>
            </w:r>
          </w:p>
          <w:p w:rsidR="00E43D77" w:rsidRPr="00E43D77" w:rsidRDefault="00E43D77" w:rsidP="00E43D77">
            <w:pPr>
              <w:numPr>
                <w:ilvl w:val="1"/>
                <w:numId w:val="2"/>
              </w:numPr>
              <w:spacing w:after="0" w:line="240" w:lineRule="auto"/>
              <w:rPr>
                <w:rFonts w:eastAsia="Times New Roman" w:cs="Arial"/>
                <w:sz w:val="18"/>
                <w:szCs w:val="18"/>
                <w:lang w:eastAsia="en-GB"/>
              </w:rPr>
            </w:pPr>
            <w:r w:rsidRPr="00E43D77">
              <w:rPr>
                <w:rFonts w:eastAsia="Times New Roman" w:cs="Arial"/>
                <w:sz w:val="18"/>
                <w:szCs w:val="18"/>
                <w:lang w:eastAsia="en-GB"/>
              </w:rPr>
              <w:t xml:space="preserve">£0.892m of the end of year underspend on the non-DFM budget to general reserves </w:t>
            </w:r>
          </w:p>
          <w:p w:rsidR="00E43D77" w:rsidRPr="00E43D77" w:rsidRDefault="00E43D77" w:rsidP="00E43D77">
            <w:pPr>
              <w:numPr>
                <w:ilvl w:val="1"/>
                <w:numId w:val="2"/>
              </w:numPr>
              <w:spacing w:after="0" w:line="240" w:lineRule="auto"/>
              <w:rPr>
                <w:rFonts w:eastAsia="Times New Roman" w:cs="Arial"/>
                <w:sz w:val="18"/>
                <w:szCs w:val="18"/>
                <w:lang w:eastAsia="en-GB"/>
              </w:rPr>
            </w:pPr>
            <w:r w:rsidRPr="00E43D77">
              <w:rPr>
                <w:rFonts w:eastAsia="Times New Roman" w:cs="Arial"/>
                <w:sz w:val="18"/>
                <w:szCs w:val="18"/>
                <w:lang w:eastAsia="en-GB"/>
              </w:rPr>
              <w:t xml:space="preserve">a contribution of £0.060m to the vehicle replacement reserve </w:t>
            </w:r>
          </w:p>
          <w:p w:rsidR="00E43D77" w:rsidRPr="00E43D77" w:rsidRDefault="00E43D77" w:rsidP="00E43D77">
            <w:pPr>
              <w:numPr>
                <w:ilvl w:val="1"/>
                <w:numId w:val="2"/>
              </w:numPr>
              <w:spacing w:after="0" w:line="240" w:lineRule="auto"/>
              <w:rPr>
                <w:rFonts w:eastAsia="Times New Roman" w:cs="Arial"/>
                <w:sz w:val="18"/>
                <w:szCs w:val="18"/>
                <w:lang w:eastAsia="en-GB"/>
              </w:rPr>
            </w:pPr>
            <w:r w:rsidRPr="00E43D77">
              <w:rPr>
                <w:rFonts w:eastAsia="Times New Roman" w:cs="Arial"/>
                <w:sz w:val="18"/>
                <w:szCs w:val="18"/>
                <w:lang w:eastAsia="en-GB"/>
              </w:rPr>
              <w:t xml:space="preserve">£2m from the funding equalisation reserve into general reserves </w:t>
            </w:r>
          </w:p>
          <w:p w:rsidR="00E43D77" w:rsidRPr="00E43D77" w:rsidRDefault="00E43D77" w:rsidP="00E43D77">
            <w:pPr>
              <w:numPr>
                <w:ilvl w:val="0"/>
                <w:numId w:val="2"/>
              </w:numPr>
              <w:spacing w:before="100" w:beforeAutospacing="1" w:after="109" w:line="240" w:lineRule="auto"/>
              <w:rPr>
                <w:rFonts w:eastAsia="Times New Roman" w:cs="Arial"/>
                <w:sz w:val="18"/>
                <w:szCs w:val="18"/>
                <w:lang w:eastAsia="en-GB"/>
              </w:rPr>
            </w:pPr>
            <w:proofErr w:type="gramStart"/>
            <w:r w:rsidRPr="00E43D77">
              <w:rPr>
                <w:rFonts w:eastAsia="Times New Roman" w:cs="Arial"/>
                <w:sz w:val="18"/>
                <w:szCs w:val="18"/>
                <w:lang w:eastAsia="en-GB"/>
              </w:rPr>
              <w:t>approved</w:t>
            </w:r>
            <w:proofErr w:type="gramEnd"/>
            <w:r w:rsidRPr="00E43D77">
              <w:rPr>
                <w:rFonts w:eastAsia="Times New Roman" w:cs="Arial"/>
                <w:sz w:val="18"/>
                <w:szCs w:val="18"/>
                <w:lang w:eastAsia="en-GB"/>
              </w:rPr>
              <w:t xml:space="preserve"> the increase in the vehicle replacement programme of £0.101m to be funded by contributions from revenue budget contributions. </w:t>
            </w:r>
          </w:p>
          <w:p w:rsidR="00E43D77" w:rsidRPr="00E43D77" w:rsidRDefault="00E43D77" w:rsidP="00E43D77">
            <w:pPr>
              <w:numPr>
                <w:ilvl w:val="0"/>
                <w:numId w:val="2"/>
              </w:numPr>
              <w:spacing w:before="100" w:beforeAutospacing="1" w:after="109" w:line="240" w:lineRule="auto"/>
              <w:rPr>
                <w:rFonts w:eastAsia="Times New Roman" w:cs="Arial"/>
                <w:sz w:val="18"/>
                <w:szCs w:val="18"/>
                <w:lang w:eastAsia="en-GB"/>
              </w:rPr>
            </w:pPr>
            <w:r w:rsidRPr="00E43D77">
              <w:rPr>
                <w:rFonts w:eastAsia="Times New Roman" w:cs="Arial"/>
                <w:sz w:val="18"/>
                <w:szCs w:val="18"/>
                <w:lang w:eastAsia="en-GB"/>
              </w:rPr>
              <w:t xml:space="preserve">approved the write-off to the Constabulary DFM budget of obsolete uniform and equipment stock in the amount of £0.020m </w:t>
            </w:r>
          </w:p>
          <w:p w:rsidR="00E43D77" w:rsidRPr="00E43D77" w:rsidRDefault="00E43D77" w:rsidP="00E43D77">
            <w:pPr>
              <w:numPr>
                <w:ilvl w:val="0"/>
                <w:numId w:val="2"/>
              </w:numPr>
              <w:spacing w:before="100" w:beforeAutospacing="1" w:after="109" w:line="240" w:lineRule="auto"/>
              <w:rPr>
                <w:rFonts w:eastAsia="Times New Roman" w:cs="Arial"/>
                <w:sz w:val="18"/>
                <w:szCs w:val="18"/>
                <w:lang w:eastAsia="en-GB"/>
              </w:rPr>
            </w:pPr>
            <w:proofErr w:type="gramStart"/>
            <w:r w:rsidRPr="00E43D77">
              <w:rPr>
                <w:rFonts w:eastAsia="Times New Roman" w:cs="Arial"/>
                <w:sz w:val="18"/>
                <w:szCs w:val="18"/>
                <w:lang w:eastAsia="en-GB"/>
              </w:rPr>
              <w:t>noted</w:t>
            </w:r>
            <w:proofErr w:type="gramEnd"/>
            <w:r w:rsidRPr="00E43D77">
              <w:rPr>
                <w:rFonts w:eastAsia="Times New Roman" w:cs="Arial"/>
                <w:sz w:val="18"/>
                <w:szCs w:val="18"/>
                <w:lang w:eastAsia="en-GB"/>
              </w:rPr>
              <w:t xml:space="preserve"> the underspend of £6.447m on the capital programme and agree that £6.125m be carried forward into 2013/14 to enable those projects that have been deferred or have slipped to be completed.   </w:t>
            </w:r>
          </w:p>
          <w:p w:rsidR="00E43D77" w:rsidRPr="00E43D77" w:rsidRDefault="00E43D77" w:rsidP="00E43D77">
            <w:pPr>
              <w:numPr>
                <w:ilvl w:val="0"/>
                <w:numId w:val="2"/>
              </w:numPr>
              <w:spacing w:before="100" w:beforeAutospacing="1" w:after="109" w:line="240" w:lineRule="auto"/>
              <w:rPr>
                <w:rFonts w:eastAsia="Times New Roman" w:cs="Arial"/>
                <w:sz w:val="18"/>
                <w:szCs w:val="18"/>
                <w:lang w:eastAsia="en-GB"/>
              </w:rPr>
            </w:pPr>
            <w:r w:rsidRPr="00E43D77">
              <w:rPr>
                <w:rFonts w:eastAsia="Times New Roman" w:cs="Arial"/>
                <w:sz w:val="18"/>
                <w:szCs w:val="18"/>
                <w:lang w:eastAsia="en-GB"/>
              </w:rPr>
              <w:t xml:space="preserve">noted the transfers between schemes within the capital programme in 2012/13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lastRenderedPageBreak/>
              <w:t xml:space="preserve">13.06.2013 </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D6D53">
            <w:pPr>
              <w:spacing w:after="163" w:line="240" w:lineRule="auto"/>
              <w:rPr>
                <w:rFonts w:eastAsia="Times New Roman" w:cs="Arial"/>
                <w:sz w:val="18"/>
                <w:szCs w:val="18"/>
                <w:lang w:eastAsia="en-GB"/>
              </w:rPr>
            </w:pPr>
            <w:r>
              <w:rPr>
                <w:rFonts w:eastAsia="Times New Roman" w:cs="Arial"/>
                <w:sz w:val="18"/>
                <w:szCs w:val="18"/>
                <w:lang w:eastAsia="en-GB"/>
              </w:rPr>
              <w:t>Papers available for further scrutiny on PCC website</w:t>
            </w:r>
          </w:p>
        </w:tc>
        <w:tc>
          <w:tcPr>
            <w:tcW w:w="0" w:type="auto"/>
            <w:tcBorders>
              <w:top w:val="single" w:sz="6" w:space="0" w:color="C90044"/>
              <w:left w:val="single" w:sz="6" w:space="0" w:color="C90044"/>
              <w:bottom w:val="single" w:sz="6" w:space="0" w:color="C90044"/>
              <w:right w:val="single" w:sz="6" w:space="0" w:color="C90044"/>
            </w:tcBorders>
            <w:tcMar>
              <w:top w:w="136" w:type="dxa"/>
              <w:left w:w="136" w:type="dxa"/>
              <w:bottom w:w="95" w:type="dxa"/>
              <w:right w:w="136" w:type="dxa"/>
            </w:tcMar>
            <w:hideMark/>
          </w:tcPr>
          <w:p w:rsidR="00E43D77" w:rsidRPr="00E43D77" w:rsidRDefault="00E43D77" w:rsidP="00E43D77">
            <w:pPr>
              <w:spacing w:after="0" w:line="240" w:lineRule="auto"/>
              <w:rPr>
                <w:rFonts w:eastAsia="Times New Roman" w:cs="Arial"/>
                <w:sz w:val="18"/>
                <w:szCs w:val="18"/>
                <w:lang w:eastAsia="en-GB"/>
              </w:rPr>
            </w:pPr>
            <w:r w:rsidRPr="00E43D77">
              <w:rPr>
                <w:rFonts w:eastAsia="Times New Roman" w:cs="Arial"/>
                <w:sz w:val="18"/>
                <w:szCs w:val="18"/>
                <w:lang w:eastAsia="en-GB"/>
              </w:rPr>
              <w:t xml:space="preserve">The Police and Crime Commissioner </w:t>
            </w:r>
          </w:p>
        </w:tc>
      </w:tr>
      <w:bookmarkEnd w:id="0"/>
    </w:tbl>
    <w:p w:rsidR="00E315AA" w:rsidRDefault="00E315AA"/>
    <w:sectPr w:rsidR="00E315AA" w:rsidSect="00E43D7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D7993"/>
    <w:multiLevelType w:val="multilevel"/>
    <w:tmpl w:val="C1AC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D8623D"/>
    <w:multiLevelType w:val="multilevel"/>
    <w:tmpl w:val="FDC89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E43D77"/>
    <w:rsid w:val="00053C42"/>
    <w:rsid w:val="00067935"/>
    <w:rsid w:val="002E7F02"/>
    <w:rsid w:val="004B4061"/>
    <w:rsid w:val="00730E53"/>
    <w:rsid w:val="008350C8"/>
    <w:rsid w:val="00AF64D7"/>
    <w:rsid w:val="00D6720E"/>
    <w:rsid w:val="00E315AA"/>
    <w:rsid w:val="00E43D77"/>
    <w:rsid w:val="00F57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D77"/>
    <w:rPr>
      <w:strike w:val="0"/>
      <w:dstrike w:val="0"/>
      <w:color w:val="C90044"/>
      <w:u w:val="none"/>
      <w:effect w:val="none"/>
    </w:rPr>
  </w:style>
  <w:style w:type="character" w:styleId="Strong">
    <w:name w:val="Strong"/>
    <w:basedOn w:val="DefaultParagraphFont"/>
    <w:uiPriority w:val="22"/>
    <w:qFormat/>
    <w:rsid w:val="00E43D77"/>
    <w:rPr>
      <w:b/>
      <w:bCs/>
    </w:rPr>
  </w:style>
  <w:style w:type="paragraph" w:styleId="NormalWeb">
    <w:name w:val="Normal (Web)"/>
    <w:basedOn w:val="Normal"/>
    <w:uiPriority w:val="99"/>
    <w:unhideWhenUsed/>
    <w:rsid w:val="00E43D77"/>
    <w:pPr>
      <w:spacing w:after="163" w:line="240" w:lineRule="auto"/>
    </w:pPr>
    <w:rPr>
      <w:rFonts w:ascii="Times New Roman" w:eastAsia="Times New Roman"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3030">
      <w:bodyDiv w:val="1"/>
      <w:marLeft w:val="0"/>
      <w:marRight w:val="0"/>
      <w:marTop w:val="0"/>
      <w:marBottom w:val="0"/>
      <w:divBdr>
        <w:top w:val="none" w:sz="0" w:space="0" w:color="auto"/>
        <w:left w:val="none" w:sz="0" w:space="0" w:color="auto"/>
        <w:bottom w:val="none" w:sz="0" w:space="0" w:color="auto"/>
        <w:right w:val="none" w:sz="0" w:space="0" w:color="auto"/>
      </w:divBdr>
      <w:divsChild>
        <w:div w:id="74860669">
          <w:marLeft w:val="0"/>
          <w:marRight w:val="0"/>
          <w:marTop w:val="0"/>
          <w:marBottom w:val="0"/>
          <w:divBdr>
            <w:top w:val="none" w:sz="0" w:space="0" w:color="auto"/>
            <w:left w:val="none" w:sz="0" w:space="0" w:color="auto"/>
            <w:bottom w:val="none" w:sz="0" w:space="0" w:color="auto"/>
            <w:right w:val="none" w:sz="0" w:space="0" w:color="auto"/>
          </w:divBdr>
          <w:divsChild>
            <w:div w:id="368380608">
              <w:marLeft w:val="0"/>
              <w:marRight w:val="0"/>
              <w:marTop w:val="0"/>
              <w:marBottom w:val="0"/>
              <w:divBdr>
                <w:top w:val="single" w:sz="6" w:space="0" w:color="D4D4D4"/>
                <w:left w:val="none" w:sz="0" w:space="0" w:color="auto"/>
                <w:bottom w:val="none" w:sz="0" w:space="0" w:color="auto"/>
                <w:right w:val="none" w:sz="0" w:space="0" w:color="auto"/>
              </w:divBdr>
              <w:divsChild>
                <w:div w:id="1932659306">
                  <w:marLeft w:val="0"/>
                  <w:marRight w:val="0"/>
                  <w:marTop w:val="0"/>
                  <w:marBottom w:val="0"/>
                  <w:divBdr>
                    <w:top w:val="none" w:sz="0" w:space="0" w:color="auto"/>
                    <w:left w:val="none" w:sz="0" w:space="0" w:color="auto"/>
                    <w:bottom w:val="none" w:sz="0" w:space="0" w:color="auto"/>
                    <w:right w:val="none" w:sz="0" w:space="0" w:color="auto"/>
                  </w:divBdr>
                  <w:divsChild>
                    <w:div w:id="14470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409881">
      <w:bodyDiv w:val="1"/>
      <w:marLeft w:val="0"/>
      <w:marRight w:val="0"/>
      <w:marTop w:val="0"/>
      <w:marBottom w:val="0"/>
      <w:divBdr>
        <w:top w:val="none" w:sz="0" w:space="0" w:color="auto"/>
        <w:left w:val="none" w:sz="0" w:space="0" w:color="auto"/>
        <w:bottom w:val="none" w:sz="0" w:space="0" w:color="auto"/>
        <w:right w:val="none" w:sz="0" w:space="0" w:color="auto"/>
      </w:divBdr>
      <w:divsChild>
        <w:div w:id="1955988117">
          <w:marLeft w:val="0"/>
          <w:marRight w:val="0"/>
          <w:marTop w:val="0"/>
          <w:marBottom w:val="0"/>
          <w:divBdr>
            <w:top w:val="none" w:sz="0" w:space="0" w:color="auto"/>
            <w:left w:val="none" w:sz="0" w:space="0" w:color="auto"/>
            <w:bottom w:val="none" w:sz="0" w:space="0" w:color="auto"/>
            <w:right w:val="none" w:sz="0" w:space="0" w:color="auto"/>
          </w:divBdr>
          <w:divsChild>
            <w:div w:id="219176669">
              <w:marLeft w:val="0"/>
              <w:marRight w:val="0"/>
              <w:marTop w:val="0"/>
              <w:marBottom w:val="0"/>
              <w:divBdr>
                <w:top w:val="single" w:sz="6" w:space="0" w:color="D4D4D4"/>
                <w:left w:val="none" w:sz="0" w:space="0" w:color="auto"/>
                <w:bottom w:val="none" w:sz="0" w:space="0" w:color="auto"/>
                <w:right w:val="none" w:sz="0" w:space="0" w:color="auto"/>
              </w:divBdr>
              <w:divsChild>
                <w:div w:id="1522621563">
                  <w:marLeft w:val="0"/>
                  <w:marRight w:val="0"/>
                  <w:marTop w:val="0"/>
                  <w:marBottom w:val="0"/>
                  <w:divBdr>
                    <w:top w:val="none" w:sz="0" w:space="0" w:color="auto"/>
                    <w:left w:val="none" w:sz="0" w:space="0" w:color="auto"/>
                    <w:bottom w:val="none" w:sz="0" w:space="0" w:color="auto"/>
                    <w:right w:val="none" w:sz="0" w:space="0" w:color="auto"/>
                  </w:divBdr>
                  <w:divsChild>
                    <w:div w:id="19488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904978">
      <w:bodyDiv w:val="1"/>
      <w:marLeft w:val="0"/>
      <w:marRight w:val="0"/>
      <w:marTop w:val="0"/>
      <w:marBottom w:val="0"/>
      <w:divBdr>
        <w:top w:val="none" w:sz="0" w:space="0" w:color="auto"/>
        <w:left w:val="none" w:sz="0" w:space="0" w:color="auto"/>
        <w:bottom w:val="none" w:sz="0" w:space="0" w:color="auto"/>
        <w:right w:val="none" w:sz="0" w:space="0" w:color="auto"/>
      </w:divBdr>
      <w:divsChild>
        <w:div w:id="601232397">
          <w:marLeft w:val="0"/>
          <w:marRight w:val="0"/>
          <w:marTop w:val="0"/>
          <w:marBottom w:val="0"/>
          <w:divBdr>
            <w:top w:val="none" w:sz="0" w:space="0" w:color="auto"/>
            <w:left w:val="none" w:sz="0" w:space="0" w:color="auto"/>
            <w:bottom w:val="none" w:sz="0" w:space="0" w:color="auto"/>
            <w:right w:val="none" w:sz="0" w:space="0" w:color="auto"/>
          </w:divBdr>
          <w:divsChild>
            <w:div w:id="750926713">
              <w:marLeft w:val="0"/>
              <w:marRight w:val="0"/>
              <w:marTop w:val="0"/>
              <w:marBottom w:val="0"/>
              <w:divBdr>
                <w:top w:val="single" w:sz="6" w:space="0" w:color="D4D4D4"/>
                <w:left w:val="none" w:sz="0" w:space="0" w:color="auto"/>
                <w:bottom w:val="none" w:sz="0" w:space="0" w:color="auto"/>
                <w:right w:val="none" w:sz="0" w:space="0" w:color="auto"/>
              </w:divBdr>
              <w:divsChild>
                <w:div w:id="1083142680">
                  <w:marLeft w:val="0"/>
                  <w:marRight w:val="0"/>
                  <w:marTop w:val="0"/>
                  <w:marBottom w:val="0"/>
                  <w:divBdr>
                    <w:top w:val="none" w:sz="0" w:space="0" w:color="auto"/>
                    <w:left w:val="none" w:sz="0" w:space="0" w:color="auto"/>
                    <w:bottom w:val="none" w:sz="0" w:space="0" w:color="auto"/>
                    <w:right w:val="none" w:sz="0" w:space="0" w:color="auto"/>
                  </w:divBdr>
                  <w:divsChild>
                    <w:div w:id="832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195939">
      <w:bodyDiv w:val="1"/>
      <w:marLeft w:val="0"/>
      <w:marRight w:val="0"/>
      <w:marTop w:val="0"/>
      <w:marBottom w:val="0"/>
      <w:divBdr>
        <w:top w:val="none" w:sz="0" w:space="0" w:color="auto"/>
        <w:left w:val="none" w:sz="0" w:space="0" w:color="auto"/>
        <w:bottom w:val="none" w:sz="0" w:space="0" w:color="auto"/>
        <w:right w:val="none" w:sz="0" w:space="0" w:color="auto"/>
      </w:divBdr>
      <w:divsChild>
        <w:div w:id="571736253">
          <w:marLeft w:val="0"/>
          <w:marRight w:val="0"/>
          <w:marTop w:val="0"/>
          <w:marBottom w:val="0"/>
          <w:divBdr>
            <w:top w:val="none" w:sz="0" w:space="0" w:color="auto"/>
            <w:left w:val="none" w:sz="0" w:space="0" w:color="auto"/>
            <w:bottom w:val="none" w:sz="0" w:space="0" w:color="auto"/>
            <w:right w:val="none" w:sz="0" w:space="0" w:color="auto"/>
          </w:divBdr>
          <w:divsChild>
            <w:div w:id="1010066807">
              <w:marLeft w:val="0"/>
              <w:marRight w:val="0"/>
              <w:marTop w:val="0"/>
              <w:marBottom w:val="0"/>
              <w:divBdr>
                <w:top w:val="single" w:sz="6" w:space="0" w:color="D4D4D4"/>
                <w:left w:val="none" w:sz="0" w:space="0" w:color="auto"/>
                <w:bottom w:val="none" w:sz="0" w:space="0" w:color="auto"/>
                <w:right w:val="none" w:sz="0" w:space="0" w:color="auto"/>
              </w:divBdr>
              <w:divsChild>
                <w:div w:id="1665933796">
                  <w:marLeft w:val="0"/>
                  <w:marRight w:val="0"/>
                  <w:marTop w:val="0"/>
                  <w:marBottom w:val="0"/>
                  <w:divBdr>
                    <w:top w:val="none" w:sz="0" w:space="0" w:color="auto"/>
                    <w:left w:val="none" w:sz="0" w:space="0" w:color="auto"/>
                    <w:bottom w:val="none" w:sz="0" w:space="0" w:color="auto"/>
                    <w:right w:val="none" w:sz="0" w:space="0" w:color="auto"/>
                  </w:divBdr>
                  <w:divsChild>
                    <w:div w:id="188173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2293</Words>
  <Characters>13074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idickinson001</dc:creator>
  <cp:keywords/>
  <dc:description/>
  <cp:lastModifiedBy>Neville, Mike</cp:lastModifiedBy>
  <cp:revision>2</cp:revision>
  <dcterms:created xsi:type="dcterms:W3CDTF">2013-06-26T14:36:00Z</dcterms:created>
  <dcterms:modified xsi:type="dcterms:W3CDTF">2013-06-28T13:12:00Z</dcterms:modified>
</cp:coreProperties>
</file>